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05F0A" w14:textId="77777777" w:rsidR="009B3E9E" w:rsidRPr="009B3E9E" w:rsidRDefault="009B3E9E" w:rsidP="009B3E9E">
      <w:pPr>
        <w:rPr>
          <w:b/>
          <w:lang w:val="fr-CA" w:bidi="fr-CA"/>
        </w:rPr>
      </w:pPr>
      <w:r w:rsidRPr="009B3E9E">
        <w:rPr>
          <w:b/>
          <w:lang w:val="fr-CA" w:bidi="fr-CA"/>
        </w:rPr>
        <w:t>Remarqu</w:t>
      </w:r>
      <w:bookmarkStart w:id="0" w:name="_GoBack"/>
      <w:bookmarkEnd w:id="0"/>
      <w:r w:rsidRPr="009B3E9E">
        <w:rPr>
          <w:b/>
          <w:lang w:val="fr-CA" w:bidi="fr-CA"/>
        </w:rPr>
        <w:t>es à l’intention du personnel concernant le dépôt de documents de divorce – À utiliser avec la liste de contrôle réservée aux parties</w:t>
      </w:r>
    </w:p>
    <w:p w14:paraId="7E3AF7E4" w14:textId="77777777" w:rsidR="009B3E9E" w:rsidRPr="009B3E9E" w:rsidRDefault="009B3E9E" w:rsidP="009B3E9E">
      <w:pPr>
        <w:rPr>
          <w:lang w:val="fr-CA" w:bidi="fr-CA"/>
        </w:rPr>
      </w:pPr>
      <w:r w:rsidRPr="009B3E9E">
        <w:rPr>
          <w:lang w:val="fr-CA" w:bidi="fr-CA"/>
        </w:rPr>
        <w:t xml:space="preserve">Utilisez cette liste pour aider les clients à s’assurer que leurs documents de divorce respectent le format exigé et ne comportent pas d’erreurs. Recommandez toujours aux clients d’obtenir des conseils juridiques, ne serait-ce que pour faire examiner leurs documents : </w:t>
      </w:r>
      <w:hyperlink r:id="rId5" w:history="1">
        <w:r w:rsidRPr="009B3E9E">
          <w:rPr>
            <w:rStyle w:val="Hyperlink"/>
            <w:lang w:val="fr-CA" w:bidi="fr-CA"/>
          </w:rPr>
          <w:t>https://www.nsfamilylaw.ca/fr/services/obtenir-conseils-juridiques-trouver-avocat</w:t>
        </w:r>
      </w:hyperlink>
      <w:r w:rsidRPr="009B3E9E">
        <w:rPr>
          <w:lang w:val="fr-CA" w:bidi="fr-CA"/>
        </w:rPr>
        <w:t>.</w:t>
      </w:r>
    </w:p>
    <w:p w14:paraId="3744F05F" w14:textId="77777777" w:rsidR="009B3E9E" w:rsidRPr="009B3E9E" w:rsidRDefault="009B3E9E" w:rsidP="009B3E9E">
      <w:pPr>
        <w:rPr>
          <w:lang w:val="fr-CA" w:bidi="fr-CA"/>
        </w:rPr>
      </w:pPr>
    </w:p>
    <w:p w14:paraId="6AC640CE" w14:textId="77777777" w:rsidR="009B3E9E" w:rsidRPr="009B3E9E" w:rsidRDefault="009B3E9E" w:rsidP="009B3E9E">
      <w:pPr>
        <w:numPr>
          <w:ilvl w:val="0"/>
          <w:numId w:val="1"/>
        </w:numPr>
        <w:jc w:val="left"/>
        <w:rPr>
          <w:lang w:val="fr-CA" w:bidi="fr-CA"/>
        </w:rPr>
      </w:pPr>
      <w:r w:rsidRPr="009B3E9E">
        <w:rPr>
          <w:lang w:val="fr-CA" w:bidi="fr-CA"/>
        </w:rPr>
        <w:t>Format à respecter</w:t>
      </w:r>
    </w:p>
    <w:p w14:paraId="52B105F0" w14:textId="77777777" w:rsidR="009B3E9E" w:rsidRPr="009B3E9E" w:rsidRDefault="009B3E9E" w:rsidP="009B3E9E">
      <w:pPr>
        <w:numPr>
          <w:ilvl w:val="1"/>
          <w:numId w:val="1"/>
        </w:numPr>
        <w:rPr>
          <w:lang w:val="fr-CA" w:bidi="fr-CA"/>
        </w:rPr>
      </w:pPr>
      <w:r w:rsidRPr="009B3E9E">
        <w:rPr>
          <w:lang w:val="fr-CA" w:bidi="fr-CA"/>
        </w:rPr>
        <w:t>Les documents de divorce doivent être dactylographiés.</w:t>
      </w:r>
    </w:p>
    <w:p w14:paraId="6C3D9FA0" w14:textId="77777777" w:rsidR="009B3E9E" w:rsidRPr="009B3E9E" w:rsidRDefault="009B3E9E" w:rsidP="009B3E9E">
      <w:pPr>
        <w:numPr>
          <w:ilvl w:val="1"/>
          <w:numId w:val="1"/>
        </w:numPr>
        <w:rPr>
          <w:lang w:val="fr-CA" w:bidi="fr-CA"/>
        </w:rPr>
      </w:pPr>
      <w:r w:rsidRPr="009B3E9E">
        <w:rPr>
          <w:lang w:val="fr-CA" w:bidi="fr-CA"/>
        </w:rPr>
        <w:t>Les documents justificatifs peuvent être dactylographiés ou rédigés à la main.</w:t>
      </w:r>
    </w:p>
    <w:p w14:paraId="1321BC5B" w14:textId="77777777" w:rsidR="009B3E9E" w:rsidRPr="009B3E9E" w:rsidRDefault="009B3E9E" w:rsidP="009B3E9E">
      <w:pPr>
        <w:numPr>
          <w:ilvl w:val="2"/>
          <w:numId w:val="1"/>
        </w:numPr>
        <w:rPr>
          <w:lang w:val="fr-CA" w:bidi="fr-CA"/>
        </w:rPr>
      </w:pPr>
      <w:r w:rsidRPr="009B3E9E">
        <w:rPr>
          <w:lang w:val="fr-CA" w:bidi="fr-CA"/>
        </w:rPr>
        <w:t>Par exemple : Déclarations de revenus, de dépenses ou de biens, déclarations parentales, états des dépenses spéciales ou extraordinaires, déclarations de coordonnées et de circonstances, formulaires de représentation personnelle</w:t>
      </w:r>
    </w:p>
    <w:p w14:paraId="1043B306" w14:textId="77777777" w:rsidR="009B3E9E" w:rsidRPr="009B3E9E" w:rsidRDefault="009B3E9E" w:rsidP="009B3E9E">
      <w:pPr>
        <w:numPr>
          <w:ilvl w:val="1"/>
          <w:numId w:val="1"/>
        </w:numPr>
        <w:rPr>
          <w:lang w:val="fr-CA" w:bidi="fr-CA"/>
        </w:rPr>
      </w:pPr>
      <w:r w:rsidRPr="009B3E9E">
        <w:rPr>
          <w:lang w:val="fr-CA" w:bidi="fr-CA"/>
        </w:rPr>
        <w:t>Feuilles de papier blanc de format lettre, sans lignes, imprimées d’un seul côté</w:t>
      </w:r>
    </w:p>
    <w:p w14:paraId="103796FE" w14:textId="77777777" w:rsidR="009B3E9E" w:rsidRPr="009B3E9E" w:rsidRDefault="009B3E9E" w:rsidP="009B3E9E">
      <w:pPr>
        <w:rPr>
          <w:lang w:val="fr-CA" w:bidi="fr-CA"/>
        </w:rPr>
      </w:pPr>
    </w:p>
    <w:p w14:paraId="3FA84F63" w14:textId="77777777" w:rsidR="009B3E9E" w:rsidRPr="009B3E9E" w:rsidRDefault="009B3E9E" w:rsidP="009B3E9E">
      <w:pPr>
        <w:numPr>
          <w:ilvl w:val="0"/>
          <w:numId w:val="1"/>
        </w:numPr>
        <w:jc w:val="left"/>
        <w:rPr>
          <w:lang w:val="fr-CA" w:bidi="fr-CA"/>
        </w:rPr>
      </w:pPr>
      <w:r w:rsidRPr="009B3E9E">
        <w:rPr>
          <w:lang w:val="fr-CA" w:bidi="fr-CA"/>
        </w:rPr>
        <w:t>Assurez-vous que les parties relisent leurs documents. Il s’agit en effet de documents officiels et légaux qu’un juge va lire. Assurez-vous :</w:t>
      </w:r>
    </w:p>
    <w:p w14:paraId="36FA5CE3" w14:textId="77777777" w:rsidR="009B3E9E" w:rsidRPr="009B3E9E" w:rsidRDefault="009B3E9E" w:rsidP="009B3E9E">
      <w:pPr>
        <w:numPr>
          <w:ilvl w:val="1"/>
          <w:numId w:val="1"/>
        </w:numPr>
        <w:rPr>
          <w:lang w:val="fr-CA" w:bidi="fr-CA"/>
        </w:rPr>
      </w:pPr>
      <w:proofErr w:type="gramStart"/>
      <w:r w:rsidRPr="009B3E9E">
        <w:rPr>
          <w:lang w:val="fr-CA" w:bidi="fr-CA"/>
        </w:rPr>
        <w:t>de</w:t>
      </w:r>
      <w:proofErr w:type="gramEnd"/>
      <w:r w:rsidRPr="009B3E9E">
        <w:rPr>
          <w:lang w:val="fr-CA" w:bidi="fr-CA"/>
        </w:rPr>
        <w:t xml:space="preserve"> corriger les coquilles;</w:t>
      </w:r>
    </w:p>
    <w:p w14:paraId="3DCA34BA" w14:textId="77777777" w:rsidR="009B3E9E" w:rsidRPr="009B3E9E" w:rsidRDefault="009B3E9E" w:rsidP="009B3E9E">
      <w:pPr>
        <w:numPr>
          <w:ilvl w:val="1"/>
          <w:numId w:val="1"/>
        </w:numPr>
        <w:rPr>
          <w:lang w:val="fr-CA" w:bidi="fr-CA"/>
        </w:rPr>
      </w:pPr>
      <w:proofErr w:type="gramStart"/>
      <w:r w:rsidRPr="009B3E9E">
        <w:rPr>
          <w:lang w:val="fr-CA" w:bidi="fr-CA"/>
        </w:rPr>
        <w:t>du</w:t>
      </w:r>
      <w:proofErr w:type="gramEnd"/>
      <w:r w:rsidRPr="009B3E9E">
        <w:rPr>
          <w:lang w:val="fr-CA" w:bidi="fr-CA"/>
        </w:rPr>
        <w:t xml:space="preserve"> bon espacement;</w:t>
      </w:r>
    </w:p>
    <w:p w14:paraId="11558942" w14:textId="77777777" w:rsidR="009B3E9E" w:rsidRPr="009B3E9E" w:rsidRDefault="009B3E9E" w:rsidP="009B3E9E">
      <w:pPr>
        <w:numPr>
          <w:ilvl w:val="1"/>
          <w:numId w:val="1"/>
        </w:numPr>
        <w:rPr>
          <w:lang w:val="fr-CA" w:bidi="fr-CA"/>
        </w:rPr>
      </w:pPr>
      <w:proofErr w:type="gramStart"/>
      <w:r w:rsidRPr="009B3E9E">
        <w:rPr>
          <w:lang w:val="fr-CA" w:bidi="fr-CA"/>
        </w:rPr>
        <w:t>que</w:t>
      </w:r>
      <w:proofErr w:type="gramEnd"/>
      <w:r w:rsidRPr="009B3E9E">
        <w:rPr>
          <w:lang w:val="fr-CA" w:bidi="fr-CA"/>
        </w:rPr>
        <w:t xml:space="preserve"> le type et la taille de la police sont uniformes;</w:t>
      </w:r>
    </w:p>
    <w:p w14:paraId="197F599C" w14:textId="77777777" w:rsidR="009B3E9E" w:rsidRPr="009B3E9E" w:rsidRDefault="009B3E9E" w:rsidP="009B3E9E">
      <w:pPr>
        <w:numPr>
          <w:ilvl w:val="2"/>
          <w:numId w:val="1"/>
        </w:numPr>
        <w:rPr>
          <w:lang w:val="fr-CA" w:bidi="fr-CA"/>
        </w:rPr>
      </w:pPr>
      <w:proofErr w:type="gramStart"/>
      <w:r w:rsidRPr="009B3E9E">
        <w:rPr>
          <w:lang w:val="fr-CA" w:bidi="fr-CA"/>
        </w:rPr>
        <w:t>les</w:t>
      </w:r>
      <w:proofErr w:type="gramEnd"/>
      <w:r w:rsidRPr="009B3E9E">
        <w:rPr>
          <w:lang w:val="fr-CA" w:bidi="fr-CA"/>
        </w:rPr>
        <w:t xml:space="preserve"> polices Times New Roman, Arial ou Calibri de taille 12 sont recommandées;</w:t>
      </w:r>
    </w:p>
    <w:p w14:paraId="459D64BA" w14:textId="77777777" w:rsidR="009B3E9E" w:rsidRPr="009B3E9E" w:rsidRDefault="009B3E9E" w:rsidP="009B3E9E">
      <w:pPr>
        <w:numPr>
          <w:ilvl w:val="1"/>
          <w:numId w:val="1"/>
        </w:numPr>
        <w:rPr>
          <w:lang w:val="fr-CA" w:bidi="fr-CA"/>
        </w:rPr>
      </w:pPr>
      <w:proofErr w:type="gramStart"/>
      <w:r w:rsidRPr="009B3E9E">
        <w:rPr>
          <w:lang w:val="fr-CA" w:bidi="fr-CA"/>
        </w:rPr>
        <w:t>que</w:t>
      </w:r>
      <w:proofErr w:type="gramEnd"/>
      <w:r w:rsidRPr="009B3E9E">
        <w:rPr>
          <w:lang w:val="fr-CA" w:bidi="fr-CA"/>
        </w:rPr>
        <w:t xml:space="preserve"> les paragraphes sont bien numérotés;</w:t>
      </w:r>
    </w:p>
    <w:p w14:paraId="422E101B" w14:textId="77777777" w:rsidR="009B3E9E" w:rsidRPr="009B3E9E" w:rsidRDefault="009B3E9E" w:rsidP="009B3E9E">
      <w:pPr>
        <w:numPr>
          <w:ilvl w:val="2"/>
          <w:numId w:val="1"/>
        </w:numPr>
        <w:rPr>
          <w:lang w:val="fr-CA" w:bidi="fr-CA"/>
        </w:rPr>
      </w:pPr>
      <w:proofErr w:type="gramStart"/>
      <w:r w:rsidRPr="009B3E9E">
        <w:rPr>
          <w:lang w:val="fr-CA" w:bidi="fr-CA"/>
        </w:rPr>
        <w:t>surtout</w:t>
      </w:r>
      <w:proofErr w:type="gramEnd"/>
      <w:r w:rsidRPr="009B3E9E">
        <w:rPr>
          <w:lang w:val="fr-CA" w:bidi="fr-CA"/>
        </w:rPr>
        <w:t xml:space="preserve"> dans l’ordonnance sur les mesures accessoires, où les paragraphes qui ne s’appliquent pas à la situation ont peut-être été supprimés. Tout ce qui suit devra être renuméroté;</w:t>
      </w:r>
    </w:p>
    <w:p w14:paraId="7C2CC228" w14:textId="77777777" w:rsidR="009B3E9E" w:rsidRPr="009B3E9E" w:rsidRDefault="009B3E9E" w:rsidP="009B3E9E">
      <w:pPr>
        <w:numPr>
          <w:ilvl w:val="1"/>
          <w:numId w:val="1"/>
        </w:numPr>
        <w:rPr>
          <w:lang w:val="fr-CA" w:bidi="fr-CA"/>
        </w:rPr>
      </w:pPr>
      <w:proofErr w:type="gramStart"/>
      <w:r w:rsidRPr="009B3E9E">
        <w:rPr>
          <w:lang w:val="fr-CA" w:bidi="fr-CA"/>
        </w:rPr>
        <w:t>que</w:t>
      </w:r>
      <w:proofErr w:type="gramEnd"/>
      <w:r w:rsidRPr="009B3E9E">
        <w:rPr>
          <w:lang w:val="fr-CA" w:bidi="fr-CA"/>
        </w:rPr>
        <w:t xml:space="preserve"> les questions abordées dans l’ordonnance sur les mesures accessoires correspondent à celles qui ont été cochées dans la demande de divorce ou la requête en divorce;</w:t>
      </w:r>
    </w:p>
    <w:p w14:paraId="5C217D61" w14:textId="77777777" w:rsidR="009B3E9E" w:rsidRPr="009B3E9E" w:rsidRDefault="009B3E9E" w:rsidP="009B3E9E">
      <w:pPr>
        <w:numPr>
          <w:ilvl w:val="2"/>
          <w:numId w:val="1"/>
        </w:numPr>
        <w:rPr>
          <w:lang w:val="fr-CA" w:bidi="fr-CA"/>
        </w:rPr>
      </w:pPr>
      <w:proofErr w:type="gramStart"/>
      <w:r w:rsidRPr="009B3E9E">
        <w:rPr>
          <w:lang w:val="fr-CA" w:bidi="fr-CA"/>
        </w:rPr>
        <w:t>pour</w:t>
      </w:r>
      <w:proofErr w:type="gramEnd"/>
      <w:r w:rsidRPr="009B3E9E">
        <w:rPr>
          <w:lang w:val="fr-CA" w:bidi="fr-CA"/>
        </w:rPr>
        <w:t xml:space="preserve"> qu’une question soit traitée </w:t>
      </w:r>
      <w:r w:rsidRPr="009B3E9E">
        <w:rPr>
          <w:u w:val="single"/>
          <w:lang w:val="fr-CA" w:bidi="fr-CA"/>
        </w:rPr>
        <w:t>d’une manière ou d’une autre</w:t>
      </w:r>
      <w:r w:rsidRPr="009B3E9E">
        <w:rPr>
          <w:lang w:val="fr-CA" w:bidi="fr-CA"/>
        </w:rPr>
        <w:t xml:space="preserve"> dans l’ordonnance sur les mesures accessoires, elle doit faire partie de la demande de divorce ou de la requête en divorce;</w:t>
      </w:r>
    </w:p>
    <w:p w14:paraId="0BD3CE07" w14:textId="77777777" w:rsidR="009B3E9E" w:rsidRPr="009B3E9E" w:rsidRDefault="009B3E9E" w:rsidP="009B3E9E">
      <w:pPr>
        <w:numPr>
          <w:ilvl w:val="2"/>
          <w:numId w:val="1"/>
        </w:numPr>
        <w:rPr>
          <w:lang w:val="fr-CA" w:bidi="fr-CA"/>
        </w:rPr>
      </w:pPr>
      <w:proofErr w:type="gramStart"/>
      <w:r w:rsidRPr="009B3E9E">
        <w:rPr>
          <w:lang w:val="fr-CA" w:bidi="fr-CA"/>
        </w:rPr>
        <w:t>par</w:t>
      </w:r>
      <w:proofErr w:type="gramEnd"/>
      <w:r w:rsidRPr="009B3E9E">
        <w:rPr>
          <w:lang w:val="fr-CA" w:bidi="fr-CA"/>
        </w:rPr>
        <w:t xml:space="preserve"> exemple, pour que l’ordonnance sur les mesures accessoires indique qu’aucune des deux parties ne versera une pension alimentaire pour conjoint, </w:t>
      </w:r>
      <w:r w:rsidRPr="009B3E9E">
        <w:rPr>
          <w:lang w:val="fr-CA" w:bidi="fr-CA"/>
        </w:rPr>
        <w:lastRenderedPageBreak/>
        <w:t xml:space="preserve">la case correspondant à ce type de pension doit avoir été cochée sur la demande de divorce ou la requête en divorce. </w:t>
      </w:r>
    </w:p>
    <w:p w14:paraId="5793A993" w14:textId="77777777" w:rsidR="009B3E9E" w:rsidRPr="009B3E9E" w:rsidRDefault="009B3E9E" w:rsidP="009B3E9E">
      <w:pPr>
        <w:rPr>
          <w:lang w:val="fr-CA" w:bidi="fr-CA"/>
        </w:rPr>
      </w:pPr>
    </w:p>
    <w:p w14:paraId="56DD4DBC" w14:textId="77777777" w:rsidR="009B3E9E" w:rsidRPr="009B3E9E" w:rsidRDefault="009B3E9E" w:rsidP="009B3E9E">
      <w:pPr>
        <w:numPr>
          <w:ilvl w:val="0"/>
          <w:numId w:val="1"/>
        </w:numPr>
        <w:jc w:val="left"/>
        <w:rPr>
          <w:lang w:val="fr-CA" w:bidi="fr-CA"/>
        </w:rPr>
      </w:pPr>
      <w:r w:rsidRPr="009B3E9E">
        <w:rPr>
          <w:lang w:val="fr-CA" w:bidi="fr-CA"/>
        </w:rPr>
        <w:t>S’assurer de toujours donner les mêmes informations</w:t>
      </w:r>
    </w:p>
    <w:p w14:paraId="02FBFD44" w14:textId="77777777" w:rsidR="009B3E9E" w:rsidRPr="009B3E9E" w:rsidRDefault="009B3E9E" w:rsidP="009B3E9E">
      <w:pPr>
        <w:numPr>
          <w:ilvl w:val="1"/>
          <w:numId w:val="1"/>
        </w:numPr>
        <w:rPr>
          <w:lang w:val="fr-CA" w:bidi="fr-CA"/>
        </w:rPr>
      </w:pPr>
      <w:r w:rsidRPr="009B3E9E">
        <w:rPr>
          <w:lang w:val="fr-CA" w:bidi="fr-CA"/>
        </w:rPr>
        <w:t>Date de mariage, date de séparation, date de naissance des enfants, montant du revenu;</w:t>
      </w:r>
    </w:p>
    <w:p w14:paraId="182FD69F" w14:textId="77777777" w:rsidR="009B3E9E" w:rsidRPr="009B3E9E" w:rsidRDefault="009B3E9E" w:rsidP="009B3E9E">
      <w:pPr>
        <w:numPr>
          <w:ilvl w:val="1"/>
          <w:numId w:val="1"/>
        </w:numPr>
        <w:rPr>
          <w:lang w:val="fr-CA" w:bidi="fr-CA"/>
        </w:rPr>
      </w:pPr>
      <w:r w:rsidRPr="009B3E9E">
        <w:rPr>
          <w:lang w:val="fr-CA" w:bidi="fr-CA"/>
        </w:rPr>
        <w:t>Noms et prénoms;</w:t>
      </w:r>
    </w:p>
    <w:p w14:paraId="7E495F16" w14:textId="77777777" w:rsidR="009B3E9E" w:rsidRPr="009B3E9E" w:rsidRDefault="009B3E9E" w:rsidP="009B3E9E">
      <w:pPr>
        <w:numPr>
          <w:ilvl w:val="2"/>
          <w:numId w:val="1"/>
        </w:numPr>
        <w:rPr>
          <w:lang w:val="fr-CA" w:bidi="fr-CA"/>
        </w:rPr>
      </w:pPr>
      <w:proofErr w:type="gramStart"/>
      <w:r w:rsidRPr="009B3E9E">
        <w:rPr>
          <w:lang w:val="fr-CA" w:bidi="fr-CA"/>
        </w:rPr>
        <w:t>par</w:t>
      </w:r>
      <w:proofErr w:type="gramEnd"/>
      <w:r w:rsidRPr="009B3E9E">
        <w:rPr>
          <w:lang w:val="fr-CA" w:bidi="fr-CA"/>
        </w:rPr>
        <w:t xml:space="preserve"> exemple, si l’une des parties a repris le nom qui apparaît sur son certificat de naissance, elle peut utiliser ce nom dans tous les documents, ou utiliser son nom marital;</w:t>
      </w:r>
    </w:p>
    <w:p w14:paraId="5FD1D137" w14:textId="77777777" w:rsidR="009B3E9E" w:rsidRPr="009B3E9E" w:rsidRDefault="009B3E9E" w:rsidP="009B3E9E">
      <w:pPr>
        <w:numPr>
          <w:ilvl w:val="3"/>
          <w:numId w:val="1"/>
        </w:numPr>
        <w:rPr>
          <w:lang w:val="fr-CA" w:bidi="fr-CA"/>
        </w:rPr>
      </w:pPr>
      <w:r w:rsidRPr="009B3E9E">
        <w:rPr>
          <w:lang w:val="fr-CA" w:bidi="fr-CA"/>
        </w:rPr>
        <w:t xml:space="preserve">Cette décision revient à la personne; il faut cependant que le même nom soit utilisé dans tous les documents; </w:t>
      </w:r>
    </w:p>
    <w:p w14:paraId="0F541F7F" w14:textId="77777777" w:rsidR="009B3E9E" w:rsidRPr="009B3E9E" w:rsidRDefault="009B3E9E" w:rsidP="009B3E9E">
      <w:pPr>
        <w:numPr>
          <w:ilvl w:val="2"/>
          <w:numId w:val="1"/>
        </w:numPr>
        <w:rPr>
          <w:lang w:val="fr-CA" w:bidi="fr-CA"/>
        </w:rPr>
      </w:pPr>
      <w:r w:rsidRPr="009B3E9E">
        <w:rPr>
          <w:lang w:val="fr-CA" w:bidi="fr-CA"/>
        </w:rPr>
        <w:t>La personne peut également indiquer les deux noms de famille dans l’intitulé de la cause,</w:t>
      </w:r>
    </w:p>
    <w:p w14:paraId="29490FEC" w14:textId="77777777" w:rsidR="009B3E9E" w:rsidRPr="009B3E9E" w:rsidRDefault="009B3E9E" w:rsidP="009B3E9E">
      <w:pPr>
        <w:numPr>
          <w:ilvl w:val="3"/>
          <w:numId w:val="1"/>
        </w:numPr>
        <w:rPr>
          <w:lang w:val="fr-CA" w:bidi="fr-CA"/>
        </w:rPr>
      </w:pPr>
      <w:proofErr w:type="gramStart"/>
      <w:r w:rsidRPr="009B3E9E">
        <w:rPr>
          <w:lang w:val="fr-CA" w:bidi="fr-CA"/>
        </w:rPr>
        <w:t>par</w:t>
      </w:r>
      <w:proofErr w:type="gramEnd"/>
      <w:r w:rsidRPr="009B3E9E">
        <w:rPr>
          <w:lang w:val="fr-CA" w:bidi="fr-CA"/>
        </w:rPr>
        <w:t xml:space="preserve"> exemple : Marie Boudreau (anciennement Gallant).</w:t>
      </w:r>
    </w:p>
    <w:p w14:paraId="72F4A0D4" w14:textId="77777777" w:rsidR="009B3E9E" w:rsidRPr="009B3E9E" w:rsidRDefault="009B3E9E" w:rsidP="009B3E9E">
      <w:pPr>
        <w:rPr>
          <w:lang w:val="fr-CA" w:bidi="fr-CA"/>
        </w:rPr>
      </w:pPr>
    </w:p>
    <w:p w14:paraId="2DCAEBE3" w14:textId="77777777" w:rsidR="009B3E9E" w:rsidRPr="009B3E9E" w:rsidRDefault="009B3E9E" w:rsidP="009B3E9E">
      <w:pPr>
        <w:numPr>
          <w:ilvl w:val="0"/>
          <w:numId w:val="1"/>
        </w:numPr>
        <w:jc w:val="left"/>
        <w:rPr>
          <w:lang w:val="fr-CA" w:bidi="fr-CA"/>
        </w:rPr>
      </w:pPr>
      <w:r w:rsidRPr="009B3E9E">
        <w:rPr>
          <w:lang w:val="fr-CA" w:bidi="fr-CA"/>
        </w:rPr>
        <w:t>Renvoi aux ententes de séparation ou aux ordonnances antérieures :</w:t>
      </w:r>
    </w:p>
    <w:p w14:paraId="5CC83B81" w14:textId="77777777" w:rsidR="009B3E9E" w:rsidRPr="009B3E9E" w:rsidRDefault="009B3E9E" w:rsidP="009B3E9E">
      <w:pPr>
        <w:numPr>
          <w:ilvl w:val="1"/>
          <w:numId w:val="1"/>
        </w:numPr>
        <w:rPr>
          <w:lang w:val="fr-CA" w:bidi="fr-CA"/>
        </w:rPr>
      </w:pPr>
      <w:r w:rsidRPr="009B3E9E">
        <w:rPr>
          <w:lang w:val="fr-CA" w:bidi="fr-CA"/>
        </w:rPr>
        <w:t>S’il y a une entente de séparation ou une ordonnance judiciaire antérieure, elle doit être mentionnée chaque fois que cela est indiqué dans les documents de divorce;</w:t>
      </w:r>
    </w:p>
    <w:p w14:paraId="089FAE1E" w14:textId="77777777" w:rsidR="009B3E9E" w:rsidRPr="009B3E9E" w:rsidRDefault="009B3E9E" w:rsidP="009B3E9E">
      <w:pPr>
        <w:rPr>
          <w:lang w:val="fr-CA" w:bidi="fr-CA"/>
        </w:rPr>
      </w:pPr>
    </w:p>
    <w:p w14:paraId="70E757BD" w14:textId="77777777" w:rsidR="009B3E9E" w:rsidRPr="009B3E9E" w:rsidRDefault="009B3E9E" w:rsidP="009B3E9E">
      <w:pPr>
        <w:rPr>
          <w:lang w:val="fr-CA" w:bidi="fr-CA"/>
        </w:rPr>
      </w:pPr>
    </w:p>
    <w:p w14:paraId="761DD941" w14:textId="77777777" w:rsidR="009B3E9E" w:rsidRPr="009B3E9E" w:rsidRDefault="009B3E9E" w:rsidP="009B3E9E">
      <w:pPr>
        <w:rPr>
          <w:lang w:val="fr-CA" w:bidi="fr-CA"/>
        </w:rPr>
      </w:pPr>
      <w:r w:rsidRPr="009B3E9E">
        <w:rPr>
          <w:lang w:val="fr-CA" w:bidi="fr-CA"/>
        </w:rPr>
        <w:t>La mention doit être effectuée à l’aide du titre du document et la date à laquelle l’entente ou l’ordonnance a été signée ou rendue;</w:t>
      </w:r>
    </w:p>
    <w:p w14:paraId="72248C85" w14:textId="77777777" w:rsidR="009B3E9E" w:rsidRPr="009B3E9E" w:rsidRDefault="009B3E9E" w:rsidP="009B3E9E">
      <w:pPr>
        <w:numPr>
          <w:ilvl w:val="2"/>
          <w:numId w:val="1"/>
        </w:numPr>
        <w:rPr>
          <w:lang w:val="fr-CA" w:bidi="fr-CA"/>
        </w:rPr>
      </w:pPr>
      <w:proofErr w:type="gramStart"/>
      <w:r w:rsidRPr="009B3E9E">
        <w:rPr>
          <w:lang w:val="fr-CA" w:bidi="fr-CA"/>
        </w:rPr>
        <w:t>par</w:t>
      </w:r>
      <w:proofErr w:type="gramEnd"/>
      <w:r w:rsidRPr="009B3E9E">
        <w:rPr>
          <w:lang w:val="fr-CA" w:bidi="fr-CA"/>
        </w:rPr>
        <w:t xml:space="preserve"> exemple : « Ordonnance de modification du consentement, le 23 juin 2009 ».</w:t>
      </w:r>
    </w:p>
    <w:p w14:paraId="7A43B63D" w14:textId="77777777" w:rsidR="00C03EB0" w:rsidRPr="009B3E9E" w:rsidRDefault="00C03EB0">
      <w:pPr>
        <w:rPr>
          <w:lang w:val="fr-CA"/>
        </w:rPr>
      </w:pPr>
    </w:p>
    <w:sectPr w:rsidR="00C03EB0" w:rsidRPr="009B3E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A1DBC"/>
    <w:multiLevelType w:val="hybridMultilevel"/>
    <w:tmpl w:val="FC5263C0"/>
    <w:lvl w:ilvl="0" w:tplc="55AE7E70">
      <w:start w:val="1"/>
      <w:numFmt w:val="decimal"/>
      <w:lvlText w:val="%1."/>
      <w:lvlJc w:val="left"/>
      <w:pPr>
        <w:ind w:left="920" w:hanging="360"/>
        <w:jc w:val="righ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F516ED3E">
      <w:start w:val="1"/>
      <w:numFmt w:val="lowerLetter"/>
      <w:lvlText w:val="%2."/>
      <w:lvlJc w:val="left"/>
      <w:pPr>
        <w:ind w:left="164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160C40FC">
      <w:start w:val="1"/>
      <w:numFmt w:val="lowerRoman"/>
      <w:lvlText w:val="%3."/>
      <w:lvlJc w:val="left"/>
      <w:pPr>
        <w:ind w:left="2361" w:hanging="28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 w:tplc="834EED7A">
      <w:numFmt w:val="bullet"/>
      <w:lvlText w:val=""/>
      <w:lvlJc w:val="left"/>
      <w:pPr>
        <w:ind w:left="308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4" w:tplc="0D12D8AC">
      <w:numFmt w:val="bullet"/>
      <w:lvlText w:val="•"/>
      <w:lvlJc w:val="left"/>
      <w:pPr>
        <w:ind w:left="2360" w:hanging="360"/>
      </w:pPr>
      <w:rPr>
        <w:rFonts w:hint="default"/>
      </w:rPr>
    </w:lvl>
    <w:lvl w:ilvl="5" w:tplc="E69C7BFA">
      <w:numFmt w:val="bullet"/>
      <w:lvlText w:val="•"/>
      <w:lvlJc w:val="left"/>
      <w:pPr>
        <w:ind w:left="3080" w:hanging="360"/>
      </w:pPr>
      <w:rPr>
        <w:rFonts w:hint="default"/>
      </w:rPr>
    </w:lvl>
    <w:lvl w:ilvl="6" w:tplc="C568B770">
      <w:numFmt w:val="bullet"/>
      <w:lvlText w:val="•"/>
      <w:lvlJc w:val="left"/>
      <w:pPr>
        <w:ind w:left="4432" w:hanging="360"/>
      </w:pPr>
      <w:rPr>
        <w:rFonts w:hint="default"/>
      </w:rPr>
    </w:lvl>
    <w:lvl w:ilvl="7" w:tplc="D4D8F2EA">
      <w:numFmt w:val="bullet"/>
      <w:lvlText w:val="•"/>
      <w:lvlJc w:val="left"/>
      <w:pPr>
        <w:ind w:left="5784" w:hanging="360"/>
      </w:pPr>
      <w:rPr>
        <w:rFonts w:hint="default"/>
      </w:rPr>
    </w:lvl>
    <w:lvl w:ilvl="8" w:tplc="BF6AE538">
      <w:numFmt w:val="bullet"/>
      <w:lvlText w:val="•"/>
      <w:lvlJc w:val="left"/>
      <w:pPr>
        <w:ind w:left="713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9E"/>
    <w:rsid w:val="003D3EB1"/>
    <w:rsid w:val="009B3E9E"/>
    <w:rsid w:val="00C03EB0"/>
    <w:rsid w:val="00FB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1817C"/>
  <w15:chartTrackingRefBased/>
  <w15:docId w15:val="{CE210350-8474-4F87-B476-694C7E5E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3E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sfamilylaw.ca/fr/services/obtenir-conseils-juridiques-trouver-avoc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Nova Scotia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Zlotnick, Leda M</dc:creator>
  <cp:keywords/>
  <dc:description/>
  <cp:lastModifiedBy>Zlotnick, Leda M</cp:lastModifiedBy>
  <cp:revision>1</cp:revision>
  <dcterms:created xsi:type="dcterms:W3CDTF">2019-10-24T13:06:00Z</dcterms:created>
  <dcterms:modified xsi:type="dcterms:W3CDTF">2019-10-24T13:08:00Z</dcterms:modified>
</cp:coreProperties>
</file>